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PV 药物警戒测试手册</w:t>
      </w:r>
    </w:p>
    <w:p>
      <w:pPr>
        <w:pStyle w:val="Heading1"/>
      </w:pPr>
      <w:r>
        <w:t>1. 角色定位</w:t>
      </w:r>
    </w:p>
    <w:p>
      <w:pPr>
        <w:spacing w:after="80"/>
      </w:pPr>
      <w:r>
        <w:rPr>
          <w:rFonts w:ascii="Microsoft YaHei" w:hAnsi="Microsoft YaHei" w:eastAsia="Microsoft YaHei"/>
        </w:rPr>
        <w:t>PV 负责药物安全相关信息处理，重点验证 AE/SAE、风险问题、医学相关信息查看和监查问题协作。PV 应能参与不良事件和部分风险问题处理，但不能维护项目成员、中心、费用合同、药品流向或项目配置。</w:t>
      </w:r>
    </w:p>
    <w:p>
      <w:pPr>
        <w:pStyle w:val="Heading1"/>
      </w:pPr>
      <w:r>
        <w:t>2. 测试前置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 xml:space="preserve">使用 </w:t>
      </w:r>
      <w:r>
        <w:rPr>
          <w:rFonts w:ascii="Consolas" w:hAnsi="Consolas" w:eastAsia="Consolas"/>
          <w:color w:val="505050"/>
          <w:sz w:val="19"/>
        </w:rPr>
        <w:t>uat-pv@example.com</w:t>
      </w:r>
      <w:r>
        <w:rPr>
          <w:rFonts w:ascii="Microsoft YaHei" w:hAnsi="Microsoft YaHei" w:eastAsia="Microsoft YaHei"/>
        </w:rPr>
        <w:t xml:space="preserve"> 登录。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 xml:space="preserve">已加入 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  <w:r>
        <w:rPr>
          <w:rFonts w:ascii="Microsoft YaHei" w:hAnsi="Microsoft YaHei" w:eastAsia="Microsoft YaHei"/>
        </w:rPr>
        <w:t>，项目角色为 PV。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项目未锁定。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 xml:space="preserve">至少存在一个受试者 </w:t>
      </w:r>
      <w:r>
        <w:rPr>
          <w:rFonts w:ascii="Consolas" w:hAnsi="Consolas" w:eastAsia="Consolas"/>
          <w:color w:val="505050"/>
          <w:sz w:val="19"/>
        </w:rPr>
        <w:t>UAT-SUBJ-001</w:t>
      </w:r>
      <w:r>
        <w:rPr>
          <w:rFonts w:ascii="Microsoft YaHei" w:hAnsi="Microsoft YaHei" w:eastAsia="Microsoft YaHei"/>
        </w:rPr>
        <w:t>。</w:t>
      </w:r>
    </w:p>
    <w:p>
      <w:pPr>
        <w:pStyle w:val="Heading1"/>
      </w:pPr>
      <w:r>
        <w:t>3. 核心场景</w:t>
      </w:r>
    </w:p>
    <w:p>
      <w:pPr>
        <w:pStyle w:val="Heading2"/>
      </w:pPr>
      <w:r>
        <w:t>场景 1：登录并进入项目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适用角色：PV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前置条件：PV 账号启用且已加入项目。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操作路径：登录页 -&gt; 项目列表 -&gt; 项目总览。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使用 </w:t>
      </w:r>
      <w:r>
        <w:rPr>
          <w:rFonts w:ascii="Consolas" w:hAnsi="Consolas" w:eastAsia="Consolas"/>
          <w:color w:val="505050"/>
          <w:sz w:val="19"/>
        </w:rPr>
        <w:t>uat-pv@example.com</w:t>
      </w:r>
      <w:r>
        <w:rPr>
          <w:rFonts w:ascii="Microsoft YaHei" w:hAnsi="Microsoft YaHei" w:eastAsia="Microsoft YaHei"/>
        </w:rPr>
        <w:t xml:space="preserve"> 登录。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选择 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进入项目总览。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查看项目基础信息。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项目：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PV 可进入项目并查看总览。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无权限不足提示。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PV 可以访问项目基础信息。</w:t>
      </w:r>
    </w:p>
    <w:p>
      <w:pPr>
        <w:pStyle w:val="Heading2"/>
      </w:pPr>
      <w:r>
        <w:t>场景 2：查看受试者信息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适用角色：PV</w:t>
      </w:r>
    </w:p>
    <w:p>
      <w:pPr>
        <w:spacing w:after="80"/>
      </w:pPr>
      <w:r>
        <w:rPr>
          <w:rFonts w:ascii="Microsoft YaHei" w:hAnsi="Microsoft YaHei" w:eastAsia="Microsoft YaHei"/>
        </w:rPr>
        <w:t xml:space="preserve">前置条件：存在 </w:t>
      </w:r>
      <w:r>
        <w:rPr>
          <w:rFonts w:ascii="Consolas" w:hAnsi="Consolas" w:eastAsia="Consolas"/>
          <w:color w:val="505050"/>
          <w:sz w:val="19"/>
        </w:rPr>
        <w:t>UAT-SUBJ-001</w:t>
      </w:r>
      <w:r>
        <w:rPr>
          <w:rFonts w:ascii="Microsoft YaHei" w:hAnsi="Microsoft YaHei" w:eastAsia="Microsoft YaHei"/>
        </w:rPr>
        <w:t>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参与者管理。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打开参与者管理。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搜索 </w:t>
      </w:r>
      <w:r>
        <w:rPr>
          <w:rFonts w:ascii="Consolas" w:hAnsi="Consolas" w:eastAsia="Consolas"/>
          <w:color w:val="505050"/>
          <w:sz w:val="19"/>
        </w:rPr>
        <w:t>UAT-SUBJ-001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进入受试者详情。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查看中心、状态、访视和医学相关信息。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尝试编辑受试者基础资料。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受试者：</w:t>
      </w:r>
      <w:r>
        <w:rPr>
          <w:rFonts w:ascii="Consolas" w:hAnsi="Consolas" w:eastAsia="Consolas"/>
          <w:color w:val="505050"/>
          <w:sz w:val="19"/>
        </w:rPr>
        <w:t>UAT-SUBJ-001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PV 可查看受试者详情。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PV 不能编辑受试者基础资料。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受试者信息对 PV 只读。</w:t>
      </w:r>
    </w:p>
    <w:p>
      <w:pPr>
        <w:pStyle w:val="Heading2"/>
      </w:pPr>
      <w:r>
        <w:t>场景 3：创建 AE/SAE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适用角色：PV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前置条件：存在受试者和中心。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风险问题 -&gt; AE/SAE。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 AE/SAE 页面。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点击新建。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选择 </w:t>
      </w:r>
      <w:r>
        <w:rPr>
          <w:rFonts w:ascii="Consolas" w:hAnsi="Consolas" w:eastAsia="Consolas"/>
          <w:color w:val="505050"/>
          <w:sz w:val="19"/>
        </w:rPr>
        <w:t>UAT-SUBJ-001</w:t>
      </w:r>
      <w:r>
        <w:rPr>
          <w:rFonts w:ascii="Microsoft YaHei" w:hAnsi="Microsoft YaHei" w:eastAsia="Microsoft YaHei"/>
        </w:rPr>
        <w:t xml:space="preserve"> 和 </w:t>
      </w:r>
      <w:r>
        <w:rPr>
          <w:rFonts w:ascii="Consolas" w:hAnsi="Consolas" w:eastAsia="Consolas"/>
          <w:color w:val="505050"/>
          <w:sz w:val="19"/>
        </w:rPr>
        <w:t>UAT-中心-01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填写事件名称、发生日期、严重程度、处理措施和报告状态。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返回列表搜索 </w:t>
      </w:r>
      <w:r>
        <w:rPr>
          <w:rFonts w:ascii="Consolas" w:hAnsi="Consolas" w:eastAsia="Consolas"/>
          <w:color w:val="505050"/>
          <w:sz w:val="19"/>
        </w:rPr>
        <w:t>UAT-AE-001</w:t>
      </w:r>
      <w:r>
        <w:rPr>
          <w:rFonts w:ascii="Microsoft YaHei" w:hAnsi="Microsoft YaHei" w:eastAsia="Microsoft YaHei"/>
        </w:rPr>
        <w:t>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AE 编号：</w:t>
      </w:r>
      <w:r>
        <w:rPr>
          <w:rFonts w:ascii="Consolas" w:hAnsi="Consolas" w:eastAsia="Consolas"/>
          <w:color w:val="505050"/>
          <w:sz w:val="19"/>
        </w:rPr>
        <w:t>UAT-AE-001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受试者：</w:t>
      </w:r>
      <w:r>
        <w:rPr>
          <w:rFonts w:ascii="Consolas" w:hAnsi="Consolas" w:eastAsia="Consolas"/>
          <w:color w:val="505050"/>
          <w:sz w:val="19"/>
        </w:rPr>
        <w:t>UAT-SUBJ-001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中心：</w:t>
      </w:r>
      <w:r>
        <w:rPr>
          <w:rFonts w:ascii="Consolas" w:hAnsi="Consolas" w:eastAsia="Consolas"/>
          <w:color w:val="505050"/>
          <w:sz w:val="19"/>
        </w:rPr>
        <w:t>UAT-中心-01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AE/SAE 创建成功。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列表和详情展示一致。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创建动作写入审计日志。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PV 可创建药物安全相关事件。</w:t>
      </w:r>
    </w:p>
    <w:p>
      <w:pPr>
        <w:pStyle w:val="Heading2"/>
      </w:pPr>
      <w:r>
        <w:t>场景 4：更新 AE/SAE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适用角色：PV</w:t>
      </w:r>
    </w:p>
    <w:p>
      <w:pPr>
        <w:spacing w:after="80"/>
      </w:pPr>
      <w:r>
        <w:rPr>
          <w:rFonts w:ascii="Microsoft YaHei" w:hAnsi="Microsoft YaHei" w:eastAsia="Microsoft YaHei"/>
        </w:rPr>
        <w:t xml:space="preserve">前置条件：存在 </w:t>
      </w:r>
      <w:r>
        <w:rPr>
          <w:rFonts w:ascii="Consolas" w:hAnsi="Consolas" w:eastAsia="Consolas"/>
          <w:color w:val="505050"/>
          <w:sz w:val="19"/>
        </w:rPr>
        <w:t>UAT-AE-001</w:t>
      </w:r>
      <w:r>
        <w:rPr>
          <w:rFonts w:ascii="Microsoft YaHei" w:hAnsi="Microsoft YaHei" w:eastAsia="Microsoft YaHei"/>
        </w:rPr>
        <w:t>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风险问题 -&gt; AE/SAE -&gt; 详情。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打开 </w:t>
      </w:r>
      <w:r>
        <w:rPr>
          <w:rFonts w:ascii="Consolas" w:hAnsi="Consolas" w:eastAsia="Consolas"/>
          <w:color w:val="505050"/>
          <w:sz w:val="19"/>
        </w:rPr>
        <w:t>UAT-AE-001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编辑事件严重程度、处理措施或随访信息。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刷新详情页。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AE：</w:t>
      </w:r>
      <w:r>
        <w:rPr>
          <w:rFonts w:ascii="Consolas" w:hAnsi="Consolas" w:eastAsia="Consolas"/>
          <w:color w:val="505050"/>
          <w:sz w:val="19"/>
        </w:rPr>
        <w:t>UAT-AE-001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更新成功。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刷新后数据保持一致。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更新动作写入审计日志。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PV 可维护 AE/SAE 处理信息。</w:t>
      </w:r>
    </w:p>
    <w:p>
      <w:pPr>
        <w:pStyle w:val="Heading2"/>
      </w:pPr>
      <w:r>
        <w:t>场景 5：关闭 AE/SAE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适用角色：PV</w:t>
      </w:r>
    </w:p>
    <w:p>
      <w:pPr>
        <w:spacing w:after="80"/>
      </w:pPr>
      <w:r>
        <w:rPr>
          <w:rFonts w:ascii="Microsoft YaHei" w:hAnsi="Microsoft YaHei" w:eastAsia="Microsoft YaHei"/>
        </w:rPr>
        <w:t xml:space="preserve">前置条件：存在开放状态 </w:t>
      </w:r>
      <w:r>
        <w:rPr>
          <w:rFonts w:ascii="Consolas" w:hAnsi="Consolas" w:eastAsia="Consolas"/>
          <w:color w:val="505050"/>
          <w:sz w:val="19"/>
        </w:rPr>
        <w:t>UAT-AE-001</w:t>
      </w:r>
      <w:r>
        <w:rPr>
          <w:rFonts w:ascii="Microsoft YaHei" w:hAnsi="Microsoft YaHei" w:eastAsia="Microsoft YaHei"/>
        </w:rPr>
        <w:t>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风险问题 -&gt; AE/SAE -&gt; 详情。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打开 </w:t>
      </w:r>
      <w:r>
        <w:rPr>
          <w:rFonts w:ascii="Consolas" w:hAnsi="Consolas" w:eastAsia="Consolas"/>
          <w:color w:val="505050"/>
          <w:sz w:val="19"/>
        </w:rPr>
        <w:t>UAT-AE-001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执行关闭或完成操作。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填写关闭原因或结论。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返回列表确认状态。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AE：</w:t>
      </w:r>
      <w:r>
        <w:rPr>
          <w:rFonts w:ascii="Consolas" w:hAnsi="Consolas" w:eastAsia="Consolas"/>
          <w:color w:val="505050"/>
          <w:sz w:val="19"/>
        </w:rPr>
        <w:t>UAT-AE-001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AE 状态变为关闭或完成。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关闭动作写入审计日志。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PV 可完成 AE/SAE 生命周期处理。</w:t>
      </w:r>
    </w:p>
    <w:p>
      <w:pPr>
        <w:pStyle w:val="Heading2"/>
      </w:pPr>
      <w:r>
        <w:t>场景 6：查看和协作处理监查问题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适用角色：PV</w:t>
      </w:r>
    </w:p>
    <w:p>
      <w:pPr>
        <w:spacing w:after="80"/>
      </w:pPr>
      <w:r>
        <w:rPr>
          <w:rFonts w:ascii="Microsoft YaHei" w:hAnsi="Microsoft YaHei" w:eastAsia="Microsoft YaHei"/>
        </w:rPr>
        <w:t xml:space="preserve">前置条件：存在 </w:t>
      </w:r>
      <w:r>
        <w:rPr>
          <w:rFonts w:ascii="Consolas" w:hAnsi="Consolas" w:eastAsia="Consolas"/>
          <w:color w:val="505050"/>
          <w:sz w:val="19"/>
        </w:rPr>
        <w:t>UAT-MONITOR-001</w:t>
      </w:r>
      <w:r>
        <w:rPr>
          <w:rFonts w:ascii="Microsoft YaHei" w:hAnsi="Microsoft YaHei" w:eastAsia="Microsoft YaHei"/>
        </w:rPr>
        <w:t>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风险问题 -&gt; 监查访视问题。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打开监查访视问题页面。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搜索 </w:t>
      </w:r>
      <w:r>
        <w:rPr>
          <w:rFonts w:ascii="Consolas" w:hAnsi="Consolas" w:eastAsia="Consolas"/>
          <w:color w:val="505050"/>
          <w:sz w:val="19"/>
        </w:rPr>
        <w:t>UAT-MONITOR-001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查看问题详情。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如页面支持，补充 PV 相关说明或更新处理信息。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监查问题：</w:t>
      </w:r>
      <w:r>
        <w:rPr>
          <w:rFonts w:ascii="Consolas" w:hAnsi="Consolas" w:eastAsia="Consolas"/>
          <w:color w:val="505050"/>
          <w:sz w:val="19"/>
        </w:rPr>
        <w:t>UAT-MONITOR-001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PV 可查看监查问题。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如权限允许，可更新与风险协作相关字段。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不允许删除监查问题。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PV 可参与风险问题协作，但不能执行 PM 专属删除。</w:t>
      </w:r>
    </w:p>
    <w:p>
      <w:pPr>
        <w:pStyle w:val="Heading2"/>
      </w:pPr>
      <w:r>
        <w:t>场景 7：维护知识库笔记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适用角色：PV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前置条件：项目未锁定。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共享库 -&gt; 注意事项。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进入注意事项页面。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新建 </w:t>
      </w:r>
      <w:r>
        <w:rPr>
          <w:rFonts w:ascii="Consolas" w:hAnsi="Consolas" w:eastAsia="Consolas"/>
          <w:color w:val="505050"/>
          <w:sz w:val="19"/>
        </w:rPr>
        <w:t>UAT-NOTE-001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填写标题、分类和内容。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编辑内容并保存。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尝试删除该笔记。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笔记：</w:t>
      </w:r>
      <w:r>
        <w:rPr>
          <w:rFonts w:ascii="Consolas" w:hAnsi="Consolas" w:eastAsia="Consolas"/>
          <w:color w:val="505050"/>
          <w:sz w:val="19"/>
        </w:rPr>
        <w:t>UAT-NOTE-001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PV 可创建和编辑知识库笔记。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PV 不能删除知识库笔记，或删除操作被权限拦截。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知识库协作权限和删除边界正确。</w:t>
      </w:r>
    </w:p>
    <w:p>
      <w:pPr>
        <w:pStyle w:val="Heading2"/>
      </w:pPr>
      <w:r>
        <w:t>场景 8：附件上传边界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适用角色：PV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前置条件：存在 AE 或风险问题记录。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操作路径：AE/SAE 详情 -&gt; 附件。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打开 </w:t>
      </w:r>
      <w:r>
        <w:rPr>
          <w:rFonts w:ascii="Consolas" w:hAnsi="Consolas" w:eastAsia="Consolas"/>
          <w:color w:val="505050"/>
          <w:sz w:val="19"/>
        </w:rPr>
        <w:t>UAT-AE-001</w:t>
      </w:r>
      <w:r>
        <w:rPr>
          <w:rFonts w:ascii="Microsoft YaHei" w:hAnsi="Microsoft YaHei" w:eastAsia="Microsoft YaHei"/>
        </w:rPr>
        <w:t xml:space="preserve"> 详情。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上传一个安全性报告附件。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下载或预览附件。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尝试删除 CRA 上传的附件。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附件：</w:t>
      </w:r>
      <w:r>
        <w:rPr>
          <w:rFonts w:ascii="Consolas" w:hAnsi="Consolas" w:eastAsia="Consolas"/>
          <w:color w:val="505050"/>
          <w:sz w:val="19"/>
        </w:rPr>
        <w:t>UAT-PV-安全性报告-001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PV 可上传和查看附件。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删除他人附件按系统规则被允许或被拒绝，实际结果需记录。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附件权限表现明确且可追溯。</w:t>
      </w:r>
    </w:p>
    <w:p>
      <w:pPr>
        <w:pStyle w:val="Heading2"/>
      </w:pPr>
      <w:r>
        <w:t>场景 9：权限边界验证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适用角色：PV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前置条件：已登录并进入项目。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操作路径：多个模块。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尝试新建受试者。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尝试维护费用合同。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尝试创建药品发货。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尝试进入项目成员管理。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尝试发布立项配置。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项目：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PV 不能执行上述非职责范围操作。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页面应隐藏入口、禁用按钮或提交后提示权限不足。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PV 越权操作被明确阻止。</w:t>
      </w:r>
    </w:p>
    <w:p>
      <w:pPr>
        <w:pStyle w:val="Heading1"/>
      </w:pPr>
      <w:r>
        <w:t>4. PV 权限边界核查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检查项</w:t>
            </w:r>
          </w:p>
        </w:tc>
        <w:tc>
          <w:tcPr>
            <w:tcW w:type="dxa" w:w="4986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期望结果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项目总览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受试者详情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可查看，不可维护基础资料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AE/SAE 创建/更新/关闭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监查问题查看/协作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可执行授权范围内操作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知识库笔记创建/编辑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费用合同维护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不可执行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药品流向维护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不可执行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项目成员和权限配置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不可执行</w:t>
            </w:r>
          </w:p>
        </w:tc>
      </w:tr>
    </w:tbl>
    <w:p/>
    <w:p>
      <w:pPr>
        <w:pStyle w:val="Heading1"/>
      </w:pPr>
      <w:r>
        <w:t>5. 完成标准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PV 可完成药物警戒主流程。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PV 不能越权维护项目、费用、药品或受试者主数据。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PV 关键动作可被审计追溯。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YaHei" w:hAnsi="Microsoft YaHei" w:eastAsia="Microsoft YaHe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